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На основу члана 4. Правилника о начину финансирања, критеријумима и поступку доделе средстава удружењима грађана у општини Прешево („Службени гласник општине Бујановац“ бр.8/15), и члана 4. Правилника о начину финансирања, критеријумима и поступку доделе средстава спортским организацијама у општини Прешево, Комисија за вредновање пројеката и програма удружења грађана и остале невладине организације општине Прешево на седници одржаној 13.05.2019                          године расписује: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Në bazë të nenit 4. Të Rregullores mbi mënyrën e financimit, kriteret dhe procedurën e ndarjes së mjeteve shoqatave të qytetarëve në Komunën e Preshevës (“Gazeta zyrtare e Komunës së Bujanocit”, nr. 8/15), dhe të nenit 4. Të Rregullores mbi mënyrën e financimit, kriteret dhe procedurën e ndarjes së mjeteve organizatave sportive në Komunën e Preshevës, Komisioni për shoqata të qytetarëve dhe organizatat tjera joqeveritare Komunës së Preshevës në mbledhjen e mbajtur më 13.05.2019 shpallë: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36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Arial" w:cs="Times New Roman"/>
          <w:b/>
          <w:bCs/>
          <w:sz w:val="32"/>
          <w:szCs w:val="32"/>
        </w:rPr>
        <w:t>ЈАВНИ КОНКУРС</w:t>
      </w:r>
    </w:p>
    <w:p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ind w:left="3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Arial" w:cs="Times New Roman"/>
          <w:b/>
          <w:bCs/>
          <w:sz w:val="32"/>
          <w:szCs w:val="32"/>
        </w:rPr>
        <w:t>KONKURS PUBLIK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За финансирање годишњих програма и пројеката удружење грађана, остале невладине организације и спортских организацијa са седиштем на територији општине Прешево.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6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Për financimin e programeve vjetore dhe projekteve të shoqatave të qytetarëve, organizatave tjera joqeveritare dhe organizatave sportive me seli në territorin e Komunës së Preshevës.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Предмет овог јавног конкурса је расподела средстава опредељених у Одлуци о програмском буџету општине Прешево за 2019.годину на Програм 0602-0001 , функција 180 , редни бр.4 економска класификација 481 „Додације невладиним организацијама  “, Одлуке о Програмском буџету општине Прешево за 2019.годину, за реализацију годишњих програма и пројеката (остале невладине организације) удружења грађана на територији Oпштине Прешево , у износу од 8.000.000,00 динара, у скалду са одредбама Правилника о начину финансирања, критеријумима и поступку доделе средстава удружењима грађана у Oпштини Прешево (у даљем тексту: Правилник).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Lëndë e këtij konkursi publik është shpërndarja e mjeteve të orientuara në vendimin mbi Programin buxhetor të Komunës së Preshevës për vitin 2019, në Programin 0602-0001 funksionin 180, nr. rend. 47, klasifikimi ekonomik 481 “</w:t>
      </w:r>
      <w:r>
        <w:rPr>
          <w:rFonts w:ascii="Times New Roman" w:hAnsi="Times New Roman" w:eastAsia="Arial" w:cs="Times New Roman"/>
          <w:b/>
          <w:bCs/>
          <w:sz w:val="24"/>
          <w:szCs w:val="24"/>
          <w:lang w:val="sq-AL"/>
        </w:rPr>
        <w:t>Dotacionet e organizatave joqeveritare</w:t>
      </w:r>
      <w:r>
        <w:rPr>
          <w:rFonts w:ascii="Times New Roman" w:hAnsi="Times New Roman" w:eastAsia="Arial" w:cs="Times New Roman"/>
          <w:b/>
          <w:bCs/>
          <w:sz w:val="24"/>
          <w:szCs w:val="24"/>
        </w:rPr>
        <w:t>”, të Vendimit mbi buxhetin programor të Komunës së Preshevës për vitin 2019, në shumë prej 8.000.000,00 dinarë, për realizimin e programeve vjetore dhe projekteve të shoqatave të qytetarëve dhe organizatave tjera joqeveritare, me qëllim të realizimit të nevojave dhe interesave në këtë sferë, në territorin e Komunës së Preshevës, në pajtim me Rregulloren mbi mënyrën e financimit, kriteret dhe procedurën e ndarjes së mjeteve shoqatave të qytetarëve, në Komunën e Preshevës (në vazhdim të tekstit: Rregullorja).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II.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Право учешћа на јавном конкурсу за финансирање програма и пројеката имају удружење грађана из члана 3. Правилника која испуњава следеће услове:</w:t>
      </w:r>
    </w:p>
    <w:p>
      <w:pPr>
        <w:numPr>
          <w:ilvl w:val="0"/>
          <w:numId w:val="1"/>
        </w:numPr>
        <w:tabs>
          <w:tab w:val="left" w:pos="1220"/>
        </w:tabs>
        <w:spacing w:after="0" w:line="240" w:lineRule="auto"/>
        <w:ind w:left="1220" w:hanging="1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да има седиште на територији општине Прешево ;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240"/>
        </w:tabs>
        <w:spacing w:after="0" w:line="240" w:lineRule="auto"/>
        <w:ind w:left="1240" w:hanging="13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да је основана у складу са прописима којима се уређује оснивање организација у ову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spacing w:after="0" w:line="240" w:lineRule="auto"/>
        <w:ind w:left="44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области;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1256"/>
        </w:tabs>
        <w:spacing w:after="0" w:line="240" w:lineRule="auto"/>
        <w:ind w:left="440" w:right="440" w:firstLine="669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да се програм или пројекат реализује на територији општине Прешево евентуално и ван ње, под условом да својим активностима представљају општину Прешево (учествовање у такмичењима, студијска путовања, семинар, конференције итд.).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pgSz w:w="12240" w:h="15840"/>
          <w:pgMar w:top="885" w:right="1440" w:bottom="311" w:left="1440" w:header="0" w:footer="0" w:gutter="0"/>
          <w:cols w:equalWidth="0" w:num="1">
            <w:col w:w="9360"/>
          </w:cols>
        </w:sectPr>
      </w:pPr>
    </w:p>
    <w:p>
      <w:pPr>
        <w:spacing w:after="0" w:line="240" w:lineRule="auto"/>
        <w:ind w:left="440" w:right="440" w:firstLine="729"/>
        <w:rPr>
          <w:rFonts w:ascii="Times New Roman" w:hAnsi="Times New Roman" w:eastAsia="Arial" w:cs="Times New Roman"/>
          <w:b/>
          <w:bCs/>
          <w:sz w:val="24"/>
          <w:szCs w:val="24"/>
        </w:rPr>
      </w:pPr>
      <w:bookmarkStart w:id="0" w:name="page2"/>
      <w:bookmarkEnd w:id="0"/>
      <w:r>
        <w:rPr>
          <w:rFonts w:ascii="Times New Roman" w:hAnsi="Times New Roman" w:eastAsia="Arial" w:cs="Times New Roman"/>
          <w:b/>
          <w:bCs/>
          <w:sz w:val="24"/>
          <w:szCs w:val="24"/>
        </w:rPr>
        <w:t>Të drejtën e pjesëmarrjes në konkursin publik për financimin e programeve dhe projekteve e kanë shoqatat joqeveritare nga neni 3. i Rregullores e cila i përmbushë këto kushte:</w:t>
      </w:r>
    </w:p>
    <w:p>
      <w:pPr>
        <w:spacing w:after="0" w:line="240" w:lineRule="auto"/>
        <w:ind w:left="440" w:right="440" w:firstLine="729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220"/>
        </w:tabs>
        <w:spacing w:after="0" w:line="240" w:lineRule="auto"/>
        <w:ind w:left="1220" w:hanging="1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ta ketë selinë në territorin e Komunës së Preshevës,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1"/>
          <w:numId w:val="2"/>
        </w:numPr>
        <w:tabs>
          <w:tab w:val="left" w:pos="1289"/>
        </w:tabs>
        <w:spacing w:after="0" w:line="240" w:lineRule="auto"/>
        <w:ind w:left="440" w:right="440" w:firstLine="72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të jetë themeluar në pajtim me dispozitat me të cilat rregullohet themelimi i organizatave në sferën e shoqatave joqeveritare,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2"/>
        </w:numPr>
        <w:tabs>
          <w:tab w:val="left" w:pos="1268"/>
        </w:tabs>
        <w:spacing w:after="0" w:line="240" w:lineRule="auto"/>
        <w:ind w:left="440" w:right="440" w:firstLine="669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që programi ose projekti të realizohet në territorin e Komunës së Preshevës eventualisht edhe jasht saj, me kusht qe me aktivitetet e saja ta perfaqesoj komunen e Presheves (pjesmarrje ne gara, udhetime studiuese, seminare, konferenca etj.).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8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III.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Потребна документација која се подноси уз пријаву:</w:t>
      </w:r>
    </w:p>
    <w:p>
      <w:pPr>
        <w:numPr>
          <w:ilvl w:val="1"/>
          <w:numId w:val="3"/>
        </w:numPr>
        <w:tabs>
          <w:tab w:val="left" w:pos="1320"/>
        </w:tabs>
        <w:spacing w:after="0" w:line="240" w:lineRule="auto"/>
        <w:ind w:left="1320" w:hanging="2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план и програм рада за 2019.годину,</w:t>
      </w:r>
    </w:p>
    <w:p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07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подаци о овлашћеном лицу за реализацију програма или пројекта,</w:t>
      </w:r>
    </w:p>
    <w:p>
      <w:pPr>
        <w:numPr>
          <w:ilvl w:val="0"/>
          <w:numId w:val="4"/>
        </w:numPr>
        <w:tabs>
          <w:tab w:val="left" w:pos="1260"/>
        </w:tabs>
        <w:spacing w:after="0" w:line="240" w:lineRule="auto"/>
        <w:ind w:left="1260" w:hanging="207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решење из АПР-а,</w:t>
      </w:r>
    </w:p>
    <w:p>
      <w:pPr>
        <w:numPr>
          <w:ilvl w:val="1"/>
          <w:numId w:val="4"/>
        </w:numPr>
        <w:tabs>
          <w:tab w:val="left" w:pos="1320"/>
        </w:tabs>
        <w:spacing w:after="0" w:line="240" w:lineRule="auto"/>
        <w:ind w:left="1320" w:hanging="2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број текућег рачуна и ПИБ удружења грађана.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Krahas fletëparaqitjes nevojiten edhe këto dokumente:</w:t>
      </w:r>
    </w:p>
    <w:p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1320" w:hanging="2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plani dhe programi i punës për vit 2019,</w:t>
      </w:r>
    </w:p>
    <w:p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1320" w:hanging="2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të dhënat mbi personin e autorizuar për realizimin e programit ose projektit,</w:t>
      </w:r>
    </w:p>
    <w:p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1320" w:hanging="2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vendimin prej APR-it</w:t>
      </w:r>
    </w:p>
    <w:p>
      <w:pPr>
        <w:numPr>
          <w:ilvl w:val="0"/>
          <w:numId w:val="5"/>
        </w:numPr>
        <w:tabs>
          <w:tab w:val="left" w:pos="1320"/>
        </w:tabs>
        <w:spacing w:after="0" w:line="240" w:lineRule="auto"/>
        <w:ind w:left="1320" w:hanging="211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numri i llogarisë rrjedhëse dhe NIT i shoqatës joqeveritare.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79"/>
        <w:jc w:val="center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spacing w:after="0" w:line="240" w:lineRule="auto"/>
        <w:ind w:right="-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IV.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7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На конкурсу за финансирање и суфинансирање исклучиво имају права Удружења грађана са територије општине Прешево која реализују пројекте и захтеве из следећих области: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729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Në konkursin për financimin dhe bashkëfinancimin kanët ë drejtë shoqatat e qytetarëve nga teritori i Komunës së Preshevës të cilat realizojnë projekte dhe kërkesa nga këto fusha:</w:t>
      </w:r>
    </w:p>
    <w:p>
      <w:pPr>
        <w:spacing w:after="0" w:line="240" w:lineRule="auto"/>
        <w:ind w:left="440" w:right="440" w:firstLine="729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88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Активности које се односе на јачање сарадње између владиног и цивилног сектора, Aktivitete që përkojnë me forcimin e bashkëpunimit mes sektorit qeveritar dhe atij civil,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570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Развој локалне заједнице, Zhvillimin e komunitetit lokal,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108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Екологија,заштита животне средине,здравља грађана и заштита животиња, Ekologjia, mbrojtja e mjedisit jetësor, shëndetit të qytetarëve dhembrojtjen e kafshëve,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412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Афирмисање људских и мањинских права, Afirmimin e të drejtave të njeriut dhe të pakicave,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Програм за омладину,стара лица и лица са посебним потребама,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spacing w:after="0" w:line="240" w:lineRule="auto"/>
        <w:ind w:left="110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Programe për të rinjë, personat e moshuar dhe për personat me nevoja te veçanta,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4640" w:hanging="330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Програм из области образовања и науке, Programe nga fusha e arsimit dhe shkencës,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108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Програм из области информисања са циљем одржавање обука за локалне медије, Programe nga fusha e informimit me qëllim mbajtjen e trajnimeve për mediat lokale,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440" w:hanging="330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Социјална заштита, спречавања и заштита од зависносне болести и спречавање насиља, Mbrojtja sociale, Parandalimi dhe mbrojtja nga sëmundjet e varësisë dhe parandalimi i dhunës,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458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Активности пензионерских организација, Aktivitete të organizatave të pensionistëve,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5000" w:hanging="330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Развијање положаја жена у друштву, Zhvillimi i pozites se gruas ne shoqeri,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498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Активности спортских организација, Aktivitetet për organizatat e sportit,</w:t>
      </w:r>
    </w:p>
    <w:p>
      <w:pPr>
        <w:pStyle w:val="5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6"/>
        </w:numPr>
        <w:tabs>
          <w:tab w:val="left" w:pos="1100"/>
        </w:tabs>
        <w:spacing w:after="0" w:line="240" w:lineRule="auto"/>
        <w:ind w:left="1100" w:right="4980" w:hanging="33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Програм из области  културе Programe nga Fusha e kulturës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pgSz w:w="12240" w:h="15840"/>
          <w:pgMar w:top="173" w:right="1440" w:bottom="0" w:left="1440" w:header="0" w:footer="0" w:gutter="0"/>
          <w:cols w:equalWidth="0" w:num="1">
            <w:col w:w="9360"/>
          </w:cols>
        </w:sectPr>
      </w:pPr>
    </w:p>
    <w:p>
      <w:pPr>
        <w:tabs>
          <w:tab w:val="left" w:pos="1100"/>
        </w:tabs>
        <w:spacing w:after="0" w:line="240" w:lineRule="auto"/>
        <w:ind w:left="1100" w:right="440"/>
        <w:rPr>
          <w:rFonts w:ascii="Times New Roman" w:hAnsi="Times New Roman" w:eastAsia="Arial" w:cs="Times New Roman"/>
          <w:b/>
          <w:bCs/>
          <w:sz w:val="24"/>
          <w:szCs w:val="24"/>
        </w:rPr>
      </w:pPr>
      <w:bookmarkStart w:id="1" w:name="page3"/>
      <w:bookmarkEnd w:id="1"/>
      <w:r>
        <w:rPr>
          <w:rFonts w:ascii="Times New Roman" w:hAnsi="Times New Roman" w:eastAsia="Arial" w:cs="Times New Roman"/>
          <w:b/>
          <w:bCs/>
          <w:sz w:val="24"/>
          <w:szCs w:val="24"/>
        </w:rPr>
        <w:t>Хуманитарних и других пројеката који искључиво и непосредно следе јавне потребе општине Прешево .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spacing w:after="0" w:line="240" w:lineRule="auto"/>
        <w:ind w:left="1100" w:right="44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Projekte humanitare dhe projekte të tjera të cilat ekskluzivisht dhe drejtëpërdrejtë përkojnë me nevojat publike të Komunës së Preshevës 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V.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1"/>
          <w:numId w:val="7"/>
        </w:numPr>
        <w:tabs>
          <w:tab w:val="left" w:pos="1298"/>
        </w:tabs>
        <w:spacing w:after="0" w:line="240" w:lineRule="auto"/>
        <w:ind w:left="1100" w:right="1080" w:firstLine="9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члану 4.тачка 11. Расподела средстава се врчи применом следећи критеријуми: Në nenin 4 pika 11. Shpërndarja e mjeteve bëhet sipas këtyre kritereve:</w:t>
      </w:r>
    </w:p>
    <w:p>
      <w:pPr>
        <w:spacing w:after="0" w:line="240" w:lineRule="auto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numPr>
          <w:ilvl w:val="0"/>
          <w:numId w:val="7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ранг (лига) такмичења,</w:t>
      </w:r>
    </w:p>
    <w:p>
      <w:pPr>
        <w:numPr>
          <w:ilvl w:val="0"/>
          <w:numId w:val="7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постигнути резултати,</w:t>
      </w:r>
    </w:p>
    <w:p>
      <w:pPr>
        <w:numPr>
          <w:ilvl w:val="0"/>
          <w:numId w:val="7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број такмичара у редовном систему такмичења,</w:t>
      </w:r>
    </w:p>
    <w:p>
      <w:pPr>
        <w:numPr>
          <w:ilvl w:val="0"/>
          <w:numId w:val="7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здравствени, социјални и други утицаји на учеснике,</w:t>
      </w:r>
    </w:p>
    <w:p>
      <w:pPr>
        <w:numPr>
          <w:ilvl w:val="0"/>
          <w:numId w:val="7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трошкови такмичења.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rangu (liga) i garave,</w:t>
      </w:r>
    </w:p>
    <w:p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rezultatet e arritura,</w:t>
      </w:r>
    </w:p>
    <w:p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numri i garuesve në sistemin e rregullt garues,</w:t>
      </w:r>
    </w:p>
    <w:p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efekti shëndetësor, social dhe efektet e tjera te pjesëmarrësit,</w:t>
      </w:r>
    </w:p>
    <w:p>
      <w:pPr>
        <w:numPr>
          <w:ilvl w:val="0"/>
          <w:numId w:val="8"/>
        </w:numPr>
        <w:tabs>
          <w:tab w:val="left" w:pos="1060"/>
        </w:tabs>
        <w:spacing w:after="0" w:line="240" w:lineRule="auto"/>
        <w:ind w:left="1060" w:hanging="203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shpenzimet e garimit.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VI.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Подносиоци пријава који конкуришу са програмима или пројектима за 2019 годину треба се изјаснити дали су били корисници финансијских средстава од стране буџета општине Прешево у претходним три годинама (образац пријаве тачка. 11).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Aplikuesit që konkurojnë me programe ose projekte për vitin 2019 te deklarohen nese kane qene perfitues te mjeteve financiare nga buxheti i komunes se Presheves ne tri vitet e fundit (formulari i fleteparaqtijes pika 11).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VII.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Тражена средства по појединачном програму, односно пројекту не могу бити већа од 400.000,00динара.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Mjetet e kërkuara për çdo program, gjegjësisht projekt individual nuk mund të tejkalojnë shumën e 400.000,00 dinarëve.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VIII.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Рок за подношење пријаве на јавни конкурс је 20 дана од дана објављивања на огласној табли Општинске управе Прешево и званичној интернет презентацији општине Прешево , који почиње да тече од дана 15.05.2019 године до 03.06.2019 године.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Afati për parashtrimin e fletëparaqitjes në konkursin publik është 20 ditë nga dita e publikimit në tabelën e shpalljeve të Administratës komunale dhe në faqen zyrtare të Komunës së Preshevës në internet, i cili fillon të rrjedhë nga 15.05.2019, deri më 03.06.2019.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right="-65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IX.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7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Пријава на конкурс са одговарајућом документацијом подноси се Општинском већу општине Прешево – Комисији за удружење грађана, са назнаком: „Пријава на јавни конкурс за финансирање годишњих програма и пројеката у области удружења грађана и спортских организација – не отварати“.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Fletëparaqitja në konkurs krahas dokumentacionit përkatës i paraqitet Këshillit komunal të Komunës së Preshevës – Komisionit për shoqatat e qytetarëve, me shenjën: “Fletëparaqitje për konkurs publik për financimin e programеve vjetore dhe të projekteve nga sfera e shoqatave të qytetarëve dhe organizatave sportive – të mos hapet”.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pgSz w:w="12240" w:h="15840"/>
          <w:pgMar w:top="408" w:right="1440" w:bottom="128" w:left="1440" w:header="0" w:footer="0" w:gutter="0"/>
          <w:cols w:equalWidth="0" w:num="1">
            <w:col w:w="9360"/>
          </w:cols>
        </w:sectPr>
      </w:pPr>
    </w:p>
    <w:p>
      <w:pPr>
        <w:spacing w:after="0" w:line="240" w:lineRule="auto"/>
        <w:ind w:left="4920"/>
        <w:rPr>
          <w:rFonts w:ascii="Times New Roman" w:hAnsi="Times New Roman" w:cs="Times New Roman"/>
          <w:sz w:val="24"/>
          <w:szCs w:val="24"/>
        </w:rPr>
      </w:pPr>
      <w:bookmarkStart w:id="2" w:name="page4"/>
      <w:bookmarkEnd w:id="2"/>
      <w:r>
        <w:rPr>
          <w:rFonts w:ascii="Times New Roman" w:hAnsi="Times New Roman" w:eastAsia="Arial" w:cs="Times New Roman"/>
          <w:b/>
          <w:bCs/>
          <w:sz w:val="24"/>
          <w:szCs w:val="24"/>
        </w:rPr>
        <w:t>X.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Пријава на конкурс се предаје: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Препорученим писмом на адресу: Општина Прешево –Општинско веће, 17523 Прешево , ул.М.Тита, бр.36. непосредно у писарницу Општинске управе Прешево 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Fletëparaqitja për konkurs dorëzohet: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Мe letër rekomanduese në adresën: Komuna e Preshevës – Këshillit komunal, 17523 Preshevë , rr. M.Tita, nr. 36 drejtëpërsëdrejti në Shkrimoren e Administratës komunale në Preshevë 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XI.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 xml:space="preserve">Обрасци пријаве могу се скинути са интернет странице Општине Прешево www.presevo.rs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1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За додатне информације можете контактирати путем емаила адресе: ngo@presevo.rs.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Ekstraktet e fletëparaqitjes mund të merren duke i shkarkuar nga faqja zyrtare e Komunës së Preshevës në internet www.presevo.rs.</w:t>
      </w:r>
    </w:p>
    <w:p>
      <w:pPr>
        <w:spacing w:after="0" w:line="240" w:lineRule="auto"/>
        <w:ind w:left="1100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 xml:space="preserve">Per informata shtesë mund te na kontaktoni në email: </w:t>
      </w:r>
      <w:r>
        <w:fldChar w:fldCharType="begin"/>
      </w:r>
      <w:r>
        <w:instrText xml:space="preserve"> HYPERLINK "mailto:ngo@presevo.rs" </w:instrText>
      </w:r>
      <w:r>
        <w:fldChar w:fldCharType="separate"/>
      </w:r>
      <w:r>
        <w:rPr>
          <w:rStyle w:val="3"/>
          <w:rFonts w:ascii="Times New Roman" w:hAnsi="Times New Roman" w:eastAsia="Arial" w:cs="Times New Roman"/>
          <w:b/>
          <w:bCs/>
          <w:sz w:val="24"/>
          <w:szCs w:val="24"/>
        </w:rPr>
        <w:t>ngo@presevo.rs</w:t>
      </w:r>
      <w:r>
        <w:rPr>
          <w:rStyle w:val="3"/>
          <w:rFonts w:ascii="Times New Roman" w:hAnsi="Times New Roman" w:eastAsia="Arial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eastAsia="Arial" w:cs="Times New Roman"/>
          <w:b/>
          <w:bCs/>
          <w:sz w:val="24"/>
          <w:szCs w:val="24"/>
        </w:rPr>
        <w:t>.</w:t>
      </w:r>
    </w:p>
    <w:p>
      <w:pPr>
        <w:spacing w:after="0" w:line="240" w:lineRule="auto"/>
        <w:ind w:left="11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Si dhe çdo ditë pune prej ora 10-12 në administratën komunale.</w:t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 w:line="240" w:lineRule="auto"/>
        <w:ind w:left="440" w:right="46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Валидним ће се сматрати само пријаве послате на овим обрасцима док се непотпуне и неблаговремене пријаве неће се разматрати.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6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Valide do të konsiderohen vetëm se fletëparaqitjet e dërguara në këto ekstrakte ndërsa nuk do të shqyrtohen fletëparaqitjet me dokumentacion jo të plotë dhe jashtë afatit.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XII.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По завршетку пројекта у складу са предвиђеним роком на конкурсу, од стране подносилаца захтева доставити и наративни и финансијски извјештај уз доказе и чињенице о извршеним трошковима пројекта (буџет пројекта), као и резултате остварених кроз пројекат.</w:t>
      </w: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Након одобравања наративног и финансијског извештаја од стране комисије за НВО и спортских организација, ваш пројекат се може сматрати завршеним, иначе губите право да учествујете на конкурсима у наредним годинама.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Pas realizimit te projektit sipas afatit të paraparë në konkurs, të dërgohet raporti narrativ dhe financiar nga ana e aplikuesit, duke e shoqëruar me dëshmi dhe fakte mbi realizimin e harxhimeve (buxhetit të projektit), si dhe rezultatet e arritura permes projektit.</w:t>
      </w:r>
    </w:p>
    <w:p>
      <w:pPr>
        <w:spacing w:after="0" w:line="240" w:lineRule="auto"/>
        <w:ind w:left="440" w:right="440" w:firstLine="677"/>
        <w:jc w:val="both"/>
        <w:rPr>
          <w:rFonts w:ascii="Times New Roman" w:hAnsi="Times New Roman" w:eastAsia="Arial" w:cs="Times New Roman"/>
          <w:b/>
          <w:bCs/>
          <w:sz w:val="24"/>
          <w:szCs w:val="24"/>
        </w:rPr>
      </w:pPr>
    </w:p>
    <w:p>
      <w:pPr>
        <w:spacing w:after="0" w:line="240" w:lineRule="auto"/>
        <w:ind w:left="440" w:right="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eastAsia="Arial" w:cs="Times New Roman"/>
          <w:b/>
          <w:bCs/>
          <w:sz w:val="24"/>
          <w:szCs w:val="24"/>
        </w:rPr>
        <w:t>Pas aprovimit të raportit narrativ dhe financiar nga ana e komisionit per OJQ dhe organizata sportive, projekti i juaj mund të konsiderohet i përfunduar, në të kundërtën do ta humbni të drejtën për pjesmarrje në konkurset e viteve vijuese.</w:t>
      </w:r>
    </w:p>
    <w:p>
      <w:pPr>
        <w:rPr>
          <w:color w:val="4F81BD" w:themeColor="accent1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sectPr>
      <w:pgSz w:w="12240" w:h="15840"/>
      <w:pgMar w:top="872" w:right="1440" w:bottom="1440" w:left="1440" w:header="0" w:footer="0" w:gutter="0"/>
      <w:cols w:equalWidth="0" w:num="1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multilevel"/>
    <w:tmpl w:val="2EB141F2"/>
    <w:lvl w:ilvl="0" w:tentative="0">
      <w:start w:val="2"/>
      <w:numFmt w:val="decimal"/>
      <w:lvlText w:val="%1."/>
      <w:lvlJc w:val="left"/>
    </w:lvl>
    <w:lvl w:ilvl="1" w:tentative="0">
      <w:start w:val="4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D1B58BA"/>
    <w:multiLevelType w:val="multilevel"/>
    <w:tmpl w:val="3D1B58BA"/>
    <w:lvl w:ilvl="0" w:tentative="0">
      <w:start w:val="1"/>
      <w:numFmt w:val="bullet"/>
      <w:lvlText w:val="-"/>
      <w:lvlJc w:val="left"/>
    </w:lvl>
    <w:lvl w:ilvl="1" w:tentative="0">
      <w:start w:val="1"/>
      <w:numFmt w:val="bullet"/>
      <w:lvlText w:val="-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41B71EFB"/>
    <w:multiLevelType w:val="multilevel"/>
    <w:tmpl w:val="41B71EFB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6E87CCD"/>
    <w:multiLevelType w:val="multilevel"/>
    <w:tmpl w:val="46E87CCD"/>
    <w:lvl w:ilvl="0" w:tentative="0">
      <w:start w:val="1"/>
      <w:numFmt w:val="bullet"/>
      <w:lvlText w:val="-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507ED7AB"/>
    <w:multiLevelType w:val="multilevel"/>
    <w:tmpl w:val="507ED7AB"/>
    <w:lvl w:ilvl="0" w:tentative="0">
      <w:start w:val="1"/>
      <w:numFmt w:val="decimal"/>
      <w:lvlText w:val="%1"/>
      <w:lvlJc w:val="left"/>
    </w:lvl>
    <w:lvl w:ilvl="1" w:tentative="0">
      <w:start w:val="1"/>
      <w:numFmt w:val="decimal"/>
      <w:lvlText w:val="%2.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515F007C"/>
    <w:multiLevelType w:val="multilevel"/>
    <w:tmpl w:val="515F007C"/>
    <w:lvl w:ilvl="0" w:tentative="0">
      <w:start w:val="0"/>
      <w:numFmt w:val="decimal"/>
      <w:lvlText w:val="%1."/>
      <w:lvlJc w:val="left"/>
    </w:lvl>
    <w:lvl w:ilvl="1" w:tentative="0">
      <w:start w:val="1"/>
      <w:numFmt w:val="bullet"/>
      <w:lvlText w:val="У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5BD062C2"/>
    <w:multiLevelType w:val="multilevel"/>
    <w:tmpl w:val="5BD062C2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79E2A9E3"/>
    <w:multiLevelType w:val="multilevel"/>
    <w:tmpl w:val="79E2A9E3"/>
    <w:lvl w:ilvl="0" w:tentative="0">
      <w:start w:val="1"/>
      <w:numFmt w:val="decimal"/>
      <w:lvlText w:val="%1.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204D87"/>
    <w:rsid w:val="00104E4C"/>
    <w:rsid w:val="001242DB"/>
    <w:rsid w:val="001F5C14"/>
    <w:rsid w:val="00204D87"/>
    <w:rsid w:val="002209E9"/>
    <w:rsid w:val="00273D50"/>
    <w:rsid w:val="002C1620"/>
    <w:rsid w:val="00303959"/>
    <w:rsid w:val="0035100F"/>
    <w:rsid w:val="003D4B80"/>
    <w:rsid w:val="00467A6E"/>
    <w:rsid w:val="00487C9A"/>
    <w:rsid w:val="004B58CB"/>
    <w:rsid w:val="004E3241"/>
    <w:rsid w:val="005A32CE"/>
    <w:rsid w:val="00606879"/>
    <w:rsid w:val="009D5E7C"/>
    <w:rsid w:val="00B232B9"/>
    <w:rsid w:val="00B405B0"/>
    <w:rsid w:val="00C60A14"/>
    <w:rsid w:val="00D101FE"/>
    <w:rsid w:val="00DE7012"/>
    <w:rsid w:val="00E86915"/>
    <w:rsid w:val="00F5792D"/>
    <w:rsid w:val="00FB728F"/>
    <w:rsid w:val="00FC61D8"/>
    <w:rsid w:val="5BDE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Deftones</Company>
  <Pages>8</Pages>
  <Words>1659</Words>
  <Characters>9460</Characters>
  <Lines>78</Lines>
  <Paragraphs>22</Paragraphs>
  <TotalTime>106</TotalTime>
  <ScaleCrop>false</ScaleCrop>
  <LinksUpToDate>false</LinksUpToDate>
  <CharactersWithSpaces>11097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2019-03-27T11:50:00Z</dcterms:created>
  <dc:creator>Windows User</dc:creator>
  <cp:lastModifiedBy>qweryt</cp:lastModifiedBy>
  <cp:lastPrinted>2019-05-15T08:48:00Z</cp:lastPrinted>
  <dcterms:modified xsi:type="dcterms:W3CDTF">2019-05-16T14:57:40Z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